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2-3885-2611/24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сентября 2024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Т.И., с участием представителя ответчика Плотникова А.С., действующего на основании доверенности от 06.03.2024 № 86АА3934312, рассмотрев в открытом судебном заседании гражданское дело по иску Общества с ограниченной ответственностью «ПКО ВПК-Капитал» к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Нине Родионовне о взыскании задолженности по договору займа,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Истец обратился с указанным иском к ответчику, мотивируя свои требования тем, что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05.2023 между ООО «МФ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Юпитер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</w:t>
      </w:r>
      <w:r>
        <w:rPr>
          <w:rFonts w:ascii="Times New Roman" w:eastAsia="Times New Roman" w:hAnsi="Times New Roman" w:cs="Times New Roman"/>
          <w:sz w:val="28"/>
          <w:szCs w:val="28"/>
        </w:rPr>
        <w:t>. был заключен договор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1-546913988142378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ответчик получ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денежные средства в сумме </w:t>
      </w:r>
      <w:r>
        <w:rPr>
          <w:rStyle w:val="cat-Sumgrp-19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Договор был заключен в электронной форме. Согласно условиям данного договора ответчик обязался возвратить сумму займа до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уплатить проценты за пользование займом. Ответчик не исполнил обязанность по возврату займа и начисленных процентов. </w:t>
      </w:r>
      <w:r>
        <w:rPr>
          <w:rFonts w:ascii="Times New Roman" w:eastAsia="Times New Roman" w:hAnsi="Times New Roman" w:cs="Times New Roman"/>
          <w:sz w:val="28"/>
          <w:szCs w:val="28"/>
        </w:rPr>
        <w:t>03.08.2023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«МФ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Юпитер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уступил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«Юнона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07.11.2023 между ООО «Юнона» и ООО </w:t>
      </w:r>
      <w:r>
        <w:rPr>
          <w:rFonts w:ascii="Times New Roman" w:eastAsia="Times New Roman" w:hAnsi="Times New Roman" w:cs="Times New Roman"/>
          <w:sz w:val="28"/>
          <w:szCs w:val="28"/>
        </w:rPr>
        <w:t>«ПКО ВПК-Капитал»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заключен договор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уступке права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(цессии).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ответчика по договору займа составляет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истец просит взыскать с ответчика в свою пользу задолженность по договору займа в сумме </w:t>
      </w:r>
      <w:r>
        <w:rPr>
          <w:rStyle w:val="cat-Sumgrp-2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судебные расходы по оплате государственной пошлины в размере </w:t>
      </w:r>
      <w:r>
        <w:rPr>
          <w:rStyle w:val="cat-Sumgrp-21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истца ООО «</w:t>
      </w:r>
      <w:r>
        <w:rPr>
          <w:rFonts w:ascii="Times New Roman" w:eastAsia="Times New Roman" w:hAnsi="Times New Roman" w:cs="Times New Roman"/>
          <w:sz w:val="28"/>
          <w:szCs w:val="28"/>
        </w:rPr>
        <w:t>ПКО ВПК-Капитал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судебное заседание не явился, извещен надлежащим образом, просил суд рассмотреть дело в его отсутствие, на исковых требованиях настоял в полном объеме.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явилась, извещена надлежащим образом, просила рассмотреть дело в свое отсутствие, представила возражение против удовлетворения исковых требований, сославшись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не заключала договор займа с ООО «МФК «Юпитер 6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 от данной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получала.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производстве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имеется аналогичное гражданское дело по исковому заявлению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МКК «М-Кредит». Она считает, что стала жертвой мошенников. По данному факту она обратилась в органы полиции с заявлением. В настоящий момент возбуждено уголовное дело. </w:t>
      </w:r>
      <w:r>
        <w:rPr>
          <w:rFonts w:ascii="Times New Roman" w:eastAsia="Times New Roman" w:hAnsi="Times New Roman" w:cs="Times New Roman"/>
          <w:sz w:val="28"/>
          <w:szCs w:val="28"/>
        </w:rPr>
        <w:t>В подтверждение 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позиции 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Н.Р. предоставила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письменный ответ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копии постановления о возбуждении уголовного дела, постановления о признании потерпевшим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компании, протокол допроса свидетеля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просила суд в удовлетворении исковых требований отказать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5 ст.167 Гражданского процессуального кодекса Российской Федерации, суд рассмотрел дело в отсутствие сторон.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пришёл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ст.56 Гражданского процессуального кодекса Российской Федерации (ГПК РФ)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ст.309 Гражданского кодекса Российской Федерации (ГК РФ) обязательства должны исполняться надлежащим образом в соответствии с условиями и требованиями закона, иных правовых актов, а при отсутствии таковых условий и требований – в соответствии с обычаями 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ГК РФ, другими законами или иными правовыми актами.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807, 809, 810 ГК РФ по договору займа одна сторона (займодавец) передает другой стороне (заемщику) деньги, а заемщик обязуется возвратить займодавцу такую же сумму денег. Если иное не предусмотрено законом или договором займа, займодавец имеет право на получение от заемщика процентов за пользование займом в размере и в порядке, определенных договором.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ч.1, 2 ст. 160 ГК РФ,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либо должным образом уполномоченными 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Письменная форма сделки считается соблюденной также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волю. Законом, иными правовыми актами и соглашением сторон может быть предусмотрен специальный способ достоверного определения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выразившего волю.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при совершении сделок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факсимильного воспроизведения подписи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 помощью средств механического или иного копирования либо иного аналога собственноручной подписи допускается в случаях и в порядке,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>, иными правовыми актами или соглашением сторон.</w:t>
      </w:r>
    </w:p>
    <w:p>
      <w:pPr>
        <w:spacing w:before="0" w:after="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ч.2 ст.5 Федерального закона от 06.04.2011 № 63-ФЗ «Об электронной подписи» </w:t>
      </w:r>
      <w:r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факта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заключения договора займа между </w:t>
      </w:r>
      <w:r>
        <w:rPr>
          <w:rFonts w:ascii="Times New Roman" w:eastAsia="Times New Roman" w:hAnsi="Times New Roman" w:cs="Times New Roman"/>
          <w:sz w:val="28"/>
          <w:szCs w:val="28"/>
        </w:rPr>
        <w:t>ООО «МФ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Юпитер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истцом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1-546913988142378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24.05.2023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ответчик получ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 денежные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 в сумме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со сроком возврата до 19.07.2023</w:t>
      </w:r>
      <w:r>
        <w:rPr>
          <w:rFonts w:ascii="Times New Roman" w:eastAsia="Times New Roman" w:hAnsi="Times New Roman" w:cs="Times New Roman"/>
          <w:sz w:val="28"/>
          <w:szCs w:val="28"/>
        </w:rPr>
        <w:t>. Договор был заключен в элек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тронном виде, путем подписания простой электронной подписью при помощи мобильного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sz w:val="28"/>
          <w:szCs w:val="28"/>
        </w:rPr>
        <w:t>, номер которого суду не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перечисления денежных средств на банковскую карту, принадлежащую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</w:t>
      </w:r>
      <w:r>
        <w:rPr>
          <w:rFonts w:ascii="Times New Roman" w:eastAsia="Times New Roman" w:hAnsi="Times New Roman" w:cs="Times New Roman"/>
          <w:sz w:val="28"/>
          <w:szCs w:val="28"/>
        </w:rPr>
        <w:t>., подтвержден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опией </w:t>
      </w:r>
      <w:r>
        <w:rPr>
          <w:rFonts w:ascii="Times New Roman" w:eastAsia="Times New Roman" w:hAnsi="Times New Roman" w:cs="Times New Roman"/>
          <w:sz w:val="28"/>
          <w:szCs w:val="28"/>
        </w:rPr>
        <w:t>справки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операции ООО «Бест2пей»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номера и даты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принадлежности ответчику банковско</w:t>
      </w:r>
      <w:r>
        <w:rPr>
          <w:rFonts w:ascii="Times New Roman" w:eastAsia="Times New Roman" w:hAnsi="Times New Roman" w:cs="Times New Roman"/>
          <w:sz w:val="28"/>
          <w:szCs w:val="28"/>
        </w:rPr>
        <w:t>й карты 220070******1852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«МФ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Юпитер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переведена сумма займа в размере </w:t>
      </w:r>
      <w:r>
        <w:rPr>
          <w:rStyle w:val="cat-Sumgrp-19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проверен судом путем </w:t>
      </w:r>
      <w:r>
        <w:rPr>
          <w:rFonts w:ascii="Times New Roman" w:eastAsia="Times New Roman" w:hAnsi="Times New Roman" w:cs="Times New Roman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Fonts w:ascii="Times New Roman" w:eastAsia="Times New Roman" w:hAnsi="Times New Roman" w:cs="Times New Roman"/>
          <w:sz w:val="28"/>
          <w:szCs w:val="28"/>
        </w:rPr>
        <w:t>Тинькофф Б</w:t>
      </w:r>
      <w:r>
        <w:rPr>
          <w:rFonts w:ascii="Times New Roman" w:eastAsia="Times New Roman" w:hAnsi="Times New Roman" w:cs="Times New Roman"/>
          <w:sz w:val="28"/>
          <w:szCs w:val="28"/>
        </w:rPr>
        <w:t>анк».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 </w:t>
      </w:r>
      <w:r>
        <w:rPr>
          <w:rFonts w:ascii="Times New Roman" w:eastAsia="Times New Roman" w:hAnsi="Times New Roman" w:cs="Times New Roman"/>
          <w:sz w:val="28"/>
          <w:szCs w:val="28"/>
        </w:rPr>
        <w:t>АО «Тинькофф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анк»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Н.Р. не является клиентом АО «Тинькофф Банк», никаких счетов на ее имя не открывалось. Определить принадлежность банковской 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220070******1852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представляется возможным, поскольку необходимо указать ее полный номер, либо дополнительную информацию о клиенте: ФИО, дату рождения, адрес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приходит к выводу, что доказательств заключения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говора займа между </w:t>
      </w:r>
      <w:r>
        <w:rPr>
          <w:rFonts w:ascii="Times New Roman" w:eastAsia="Times New Roman" w:hAnsi="Times New Roman" w:cs="Times New Roman"/>
          <w:sz w:val="28"/>
          <w:szCs w:val="28"/>
        </w:rPr>
        <w:t>ООО «МФ</w:t>
      </w:r>
      <w:r>
        <w:rPr>
          <w:rFonts w:ascii="Times New Roman" w:eastAsia="Times New Roman" w:hAnsi="Times New Roman" w:cs="Times New Roman"/>
          <w:sz w:val="28"/>
          <w:szCs w:val="28"/>
        </w:rPr>
        <w:t>К «</w:t>
      </w:r>
      <w:r>
        <w:rPr>
          <w:rFonts w:ascii="Times New Roman" w:eastAsia="Times New Roman" w:hAnsi="Times New Roman" w:cs="Times New Roman"/>
          <w:sz w:val="28"/>
          <w:szCs w:val="28"/>
        </w:rPr>
        <w:t>Юпитер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не представлено.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анковская карта, на которую были переведены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енежные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Н.Р. не принадлежи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 обратного суду не представлено.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у суда отсутствуют основания для удовлетворения исковых требований.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 Гражданского процессуального кодекса Российской Федерации,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Общества с ограниченной ответственностью «ПКО ВПК-Капитал», ИНН 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</w:t>
      </w:r>
      <w:r>
        <w:rPr>
          <w:rFonts w:ascii="Times New Roman" w:eastAsia="Times New Roman" w:hAnsi="Times New Roman" w:cs="Times New Roman"/>
          <w:sz w:val="28"/>
          <w:szCs w:val="28"/>
        </w:rPr>
        <w:t>Стенниковой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Нине Родионовне, </w:t>
      </w:r>
      <w:r>
        <w:rPr>
          <w:rStyle w:val="cat-PassportDatagrp-22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задолженности по договору займа –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sz w:val="28"/>
          <w:szCs w:val="28"/>
        </w:rPr>
        <w:t>вированное решение составлено 18</w:t>
      </w:r>
      <w:r>
        <w:rPr>
          <w:rFonts w:ascii="Times New Roman" w:eastAsia="Times New Roman" w:hAnsi="Times New Roman" w:cs="Times New Roman"/>
          <w:sz w:val="28"/>
          <w:szCs w:val="28"/>
        </w:rPr>
        <w:t>.10.2024.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2-3885-2611/2024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Sumgrp-19rplc-11">
    <w:name w:val="cat-Sum grp-19 rplc-11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Sumgrp-21rplc-22">
    <w:name w:val="cat-Sum grp-21 rplc-2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Sumgrp-19rplc-39">
    <w:name w:val="cat-Sum grp-19 rplc-39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assportDatagrp-22rplc-50">
    <w:name w:val="cat-PassportData grp-22 rplc-50"/>
    <w:basedOn w:val="DefaultParagraphFont"/>
  </w:style>
  <w:style w:type="character" w:customStyle="1" w:styleId="cat-ExternalSystemDefinedgrp-32rplc-51">
    <w:name w:val="cat-ExternalSystemDefined grp-32 rplc-51"/>
    <w:basedOn w:val="DefaultParagraphFont"/>
  </w:style>
  <w:style w:type="character" w:customStyle="1" w:styleId="cat-ExternalSystemDefinedgrp-31rplc-52">
    <w:name w:val="cat-ExternalSystemDefined grp-31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783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